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423A28" w14:paraId="41B8B464" w14:textId="1C04290A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36C3E809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Sample </w:t>
      </w:r>
      <w:r w:rsidRPr="36C3E809" w:rsidR="0094421E">
        <w:rPr>
          <w:rFonts w:ascii="Arial" w:hAnsi="Arial" w:eastAsia="Times New Roman" w:cs="Arial"/>
          <w:b/>
          <w:bCs/>
          <w:color w:val="093C71"/>
          <w:sz w:val="28"/>
          <w:szCs w:val="28"/>
        </w:rPr>
        <w:t>Budget</w:t>
      </w:r>
      <w:r w:rsidRPr="36C3E809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36C3E809" w:rsidR="003E18B6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Items </w:t>
      </w:r>
      <w:r w:rsidRPr="36C3E809">
        <w:rPr>
          <w:rFonts w:ascii="Arial" w:hAnsi="Arial" w:eastAsia="Times New Roman" w:cs="Arial"/>
          <w:b/>
          <w:bCs/>
          <w:color w:val="093C71"/>
          <w:sz w:val="28"/>
          <w:szCs w:val="28"/>
        </w:rPr>
        <w:t>for</w:t>
      </w:r>
      <w:r w:rsidRPr="36C3E809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36C3E809" w:rsidR="3DE88156">
        <w:rPr>
          <w:rFonts w:ascii="Arial" w:hAnsi="Arial" w:eastAsia="Times New Roman" w:cs="Arial"/>
          <w:b/>
          <w:bCs/>
          <w:color w:val="093C71"/>
          <w:sz w:val="28"/>
          <w:szCs w:val="28"/>
        </w:rPr>
        <w:t>a</w:t>
      </w:r>
      <w:r w:rsidRPr="36C3E809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Real-</w:t>
      </w:r>
      <w:r w:rsidRPr="36C3E809" w:rsidR="00C50C40">
        <w:rPr>
          <w:rFonts w:ascii="Arial" w:hAnsi="Arial" w:eastAsia="Times New Roman" w:cs="Arial"/>
          <w:b/>
          <w:bCs/>
          <w:color w:val="093C71"/>
          <w:sz w:val="28"/>
          <w:szCs w:val="28"/>
        </w:rPr>
        <w:t>Time STEM + Families Science Festival</w:t>
      </w:r>
    </w:p>
    <w:p w:rsidR="00E51E84" w:rsidP="00E51E84" w:rsidRDefault="00E51E84" w14:paraId="311CBC29" w14:textId="339940F2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94643B" w:rsidR="003E18B6" w:rsidP="00E51E84" w:rsidRDefault="003E18B6" w14:paraId="195D573D" w14:textId="626C59F5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57D88FE2" w:rsidR="003E18B6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Your PTA should create a budget at the start of this planning process. Use some of the estimated costs below to create your </w:t>
      </w:r>
      <w:r w:rsidRPr="57D88FE2" w:rsidR="4BA2CABA">
        <w:rPr>
          <w:rFonts w:ascii="Arial" w:hAnsi="Arial" w:cs="Arial"/>
          <w:color w:val="000000" w:themeColor="text1" w:themeTint="FF" w:themeShade="FF"/>
          <w:sz w:val="22"/>
          <w:szCs w:val="22"/>
        </w:rPr>
        <w:t>budget.</w:t>
      </w:r>
    </w:p>
    <w:p w:rsidR="0094421E" w:rsidP="0094421E" w:rsidRDefault="0094421E" w14:paraId="75DF5804" w14:textId="77777777"/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5"/>
        <w:gridCol w:w="2970"/>
      </w:tblGrid>
      <w:tr w:rsidR="0095132C" w:rsidTr="580E3D4F" w14:paraId="08F9BDC7" w14:textId="77777777">
        <w:trPr>
          <w:trHeight w:val="368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144091A9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Expense Description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421E" w:rsidR="0095132C" w:rsidRDefault="0095132C" w14:paraId="5C6AD1A6" w14:textId="77777777">
            <w:pPr>
              <w:pStyle w:val="NormalWeb"/>
              <w:spacing w:before="0" w:beforeAutospacing="0" w:after="0" w:afterAutospacing="0"/>
              <w:rPr>
                <w:color w:val="DA5F15"/>
              </w:rPr>
            </w:pPr>
            <w:r w:rsidRPr="0094421E">
              <w:rPr>
                <w:rFonts w:ascii="Arial" w:hAnsi="Arial" w:cs="Arial"/>
                <w:b/>
                <w:bCs/>
                <w:color w:val="DA5F15"/>
              </w:rPr>
              <w:t>Estimated Cost</w:t>
            </w:r>
          </w:p>
        </w:tc>
      </w:tr>
      <w:tr w:rsidR="00891B44" w:rsidTr="580E3D4F" w14:paraId="780E9974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66B3B" w:rsidR="00891B44" w:rsidP="00891B44" w:rsidRDefault="00891B44" w14:paraId="05D9E6D6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6B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Printing resources</w:t>
            </w:r>
            <w:r w:rsidRPr="00B66B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B66B3B" w:rsidR="00891B44" w:rsidP="2D3C8807" w:rsidRDefault="00891B44" w14:paraId="591C6D7F" w14:textId="2B877B3D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</w:rPr>
            </w:pP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If your PTA chooses to print and distribute materials for families to use at home, you should plan accordingly for the printing cost. T</w:t>
            </w:r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he resource </w:t>
            </w:r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you’d</w:t>
            </w:r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most likely want 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to print would be</w:t>
            </w:r>
            <w:r w:rsidRPr="2D3C8807" w:rsidR="7CFA48B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the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hyperlink r:id="Rcaa992e7e74a466d">
              <w:r w:rsidRPr="2D3C8807" w:rsidR="00891B44">
                <w:rPr>
                  <w:rStyle w:val="Hyperlink"/>
                  <w:rFonts w:ascii="Arial" w:hAnsi="Arial" w:cs="Arial"/>
                  <w:sz w:val="22"/>
                  <w:szCs w:val="22"/>
                </w:rPr>
                <w:t>Materials List</w:t>
              </w:r>
            </w:hyperlink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gramStart"/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so</w:t>
            </w:r>
            <w:proofErr w:type="gramEnd"/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families can gather these materials prior</w:t>
            </w:r>
            <w:r w:rsidRPr="2D3C8807" w:rsidR="520B51F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to the event</w:t>
            </w:r>
            <w:r w:rsidRPr="2D3C8807" w:rsidR="00B66B3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, although this is not necessary.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66B3B" w:rsidR="00891B44" w:rsidP="1D27DF67" w:rsidRDefault="00891B44" w14:paraId="418F34B8" w14:textId="5CA3FECB">
            <w:pPr>
              <w:pStyle w:val="Normal"/>
              <w:rPr>
                <w:rFonts w:ascii="Arial" w:hAnsi="Arial" w:eastAsia="Times New Roman" w:cs="Arial"/>
                <w:sz w:val="22"/>
                <w:szCs w:val="22"/>
              </w:rPr>
            </w:pPr>
            <w:r w:rsidRPr="580E3D4F" w:rsidR="3D15E0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Based </w:t>
            </w:r>
            <w:proofErr w:type="gramStart"/>
            <w:r w:rsidRPr="580E3D4F" w:rsidR="3D15E0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off</w:t>
            </w:r>
            <w:proofErr w:type="gramEnd"/>
            <w:r w:rsidRPr="580E3D4F" w:rsidR="3D15E0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FedEx/Kinkos estimate of $.05 per piece of paper </w:t>
            </w:r>
            <w:r w:rsidRPr="580E3D4F" w:rsidR="3D15E0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printed</w:t>
            </w:r>
            <w:r w:rsidRPr="580E3D4F" w:rsidR="3D15E0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  <w:r w:rsidRPr="580E3D4F" w:rsidR="3D15E008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80E3D4F" w:rsidR="000D2D3A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80E3D4F" w:rsidR="6160A3C4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If</w:t>
            </w:r>
            <w:r w:rsidRPr="580E3D4F" w:rsidR="000D2D3A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80E3D4F" w:rsidR="000D2D3A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you had </w:t>
            </w:r>
            <w:r w:rsidRPr="580E3D4F" w:rsidR="00891B44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100 families = $</w:t>
            </w:r>
            <w:r w:rsidRPr="580E3D4F" w:rsidR="00891B44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5</w:t>
            </w:r>
            <w:r w:rsidRPr="580E3D4F" w:rsidR="62FFCC15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>.00</w:t>
            </w:r>
            <w:r w:rsidRPr="580E3D4F" w:rsidR="00891B44">
              <w:rPr>
                <w:rFonts w:ascii="Arial" w:hAnsi="Arial" w:eastAsia="Times New Roman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B66B3B" w:rsidR="00891B44" w:rsidP="00891B44" w:rsidRDefault="00891B44" w14:paraId="32A17B9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1B44" w:rsidTr="580E3D4F" w14:paraId="7B32A05B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4" w:rsidP="2D3C8807" w:rsidRDefault="00891B44" w14:paraId="6EB85DAF" w14:textId="77777777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D3C8807" w:rsidR="00891B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Materials for experiments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0E662D" w:rsidR="00891B44" w:rsidP="2D3C8807" w:rsidRDefault="00891B44" w14:paraId="0FA270C8" w14:textId="035315E8">
            <w:pPr>
              <w:pStyle w:val="NormalWeb"/>
              <w:spacing w:before="0" w:beforeAutospacing="off" w:after="0" w:afterAutospacing="off"/>
              <w:rPr>
                <w:rFonts w:ascii="Arial" w:hAnsi="Arial" w:cs="Arial"/>
                <w:sz w:val="22"/>
                <w:szCs w:val="22"/>
              </w:rPr>
            </w:pP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Most of these can be found </w:t>
            </w:r>
            <w:proofErr w:type="gramStart"/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at</w:t>
            </w:r>
            <w:proofErr w:type="gramEnd"/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people’s homes, but 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it’s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important to consider access and provide resources </w:t>
            </w:r>
            <w:proofErr w:type="gramStart"/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to</w:t>
            </w:r>
            <w:proofErr w:type="gramEnd"/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families who might not have the ability to purchase </w:t>
            </w:r>
            <w:proofErr w:type="gramStart"/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the materials</w:t>
            </w:r>
            <w:proofErr w:type="gramEnd"/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they don’t already have. 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Check out the</w:t>
            </w:r>
            <w:r w:rsidRPr="2D3C8807" w:rsidR="08431EE7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hyperlink r:id="R22d7e2b2f54841ff">
              <w:r w:rsidRPr="2D3C8807" w:rsidR="08431EE7">
                <w:rPr>
                  <w:rStyle w:val="Hyperlink"/>
                  <w:rFonts w:ascii="Arial" w:hAnsi="Arial" w:cs="Arial"/>
                  <w:sz w:val="22"/>
                  <w:szCs w:val="22"/>
                </w:rPr>
                <w:t>Materials List</w:t>
              </w:r>
            </w:hyperlink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  <w:r w:rsidRPr="2D3C8807" w:rsidR="00891B4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891B44" w:rsidP="00891B44" w:rsidRDefault="00891B44" w14:paraId="59143D7A" w14:textId="09D936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$100-600</w:t>
            </w:r>
          </w:p>
          <w:p w:rsidRPr="000E662D" w:rsidR="00891B44" w:rsidP="00891B44" w:rsidRDefault="00891B44" w14:paraId="788757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B44" w:rsidTr="580E3D4F" w14:paraId="2154860D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4" w:rsidP="00891B44" w:rsidRDefault="00891B44" w14:paraId="36C53073" w14:textId="5A639B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FC1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rizes</w:t>
            </w: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0E662D" w:rsidR="00891B44" w:rsidP="00891B44" w:rsidRDefault="00891B44" w14:paraId="603EAB48" w14:textId="45E07D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or example: small gift cards to restaurants or grocery stores to incentivize participation and completion of the survey.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891B44" w:rsidP="00891B44" w:rsidRDefault="00891B44" w14:paraId="54DF9B45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$100</w:t>
            </w:r>
          </w:p>
        </w:tc>
      </w:tr>
      <w:tr w:rsidR="00891B44" w:rsidTr="580E3D4F" w14:paraId="4EF62D1D" w14:textId="77777777">
        <w:trPr>
          <w:trHeight w:val="346"/>
        </w:trPr>
        <w:tc>
          <w:tcPr>
            <w:tcW w:w="62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B44" w:rsidP="00891B44" w:rsidRDefault="00891B44" w14:paraId="5B7BE3AF" w14:textId="47EB28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Online platform</w:t>
            </w:r>
          </w:p>
          <w:p w:rsidRPr="000E662D" w:rsidR="00891B44" w:rsidP="00891B44" w:rsidRDefault="00891B44" w14:paraId="2C412D11" w14:textId="43CAF0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school will likely have a platform you can use to host a virtual event. However, if they </w:t>
            </w:r>
            <w:proofErr w:type="gramStart"/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don’t</w:t>
            </w:r>
            <w:proofErr w:type="gramEnd"/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, your PTA can purchase one to use temporarily or throughout the year. Check out more information on platform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 xml:space="preserve"> below.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662D" w:rsidR="00891B44" w:rsidP="00891B44" w:rsidRDefault="00891B44" w14:paraId="264C0F5D" w14:textId="05AFA2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662D">
              <w:rPr>
                <w:rFonts w:ascii="Arial" w:hAnsi="Arial" w:cs="Arial"/>
                <w:color w:val="000000"/>
                <w:sz w:val="22"/>
                <w:szCs w:val="22"/>
              </w:rPr>
              <w:t>Varies depending on plan. ~$20-200 </w:t>
            </w:r>
          </w:p>
        </w:tc>
      </w:tr>
    </w:tbl>
    <w:p w:rsidR="002572E7" w:rsidP="0094421E" w:rsidRDefault="002572E7" w14:paraId="7EC9DE69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Pr="00EF7FDC" w:rsidR="0094421E" w:rsidP="0094421E" w:rsidRDefault="0094421E" w14:paraId="24817843" w14:textId="7B1CE3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DA5F15"/>
        </w:rPr>
      </w:pPr>
      <w:r w:rsidRPr="00EF7FDC">
        <w:rPr>
          <w:rFonts w:ascii="Arial" w:hAnsi="Arial" w:cs="Arial"/>
          <w:b/>
          <w:bCs/>
          <w:color w:val="DA5F15"/>
        </w:rPr>
        <w:t xml:space="preserve">Pricing for </w:t>
      </w:r>
      <w:r w:rsidR="00595727">
        <w:rPr>
          <w:rFonts w:ascii="Arial" w:hAnsi="Arial" w:cs="Arial"/>
          <w:b/>
          <w:bCs/>
          <w:color w:val="DA5F15"/>
        </w:rPr>
        <w:t>O</w:t>
      </w:r>
      <w:r w:rsidRPr="00EF7FDC">
        <w:rPr>
          <w:rFonts w:ascii="Arial" w:hAnsi="Arial" w:cs="Arial"/>
          <w:b/>
          <w:bCs/>
          <w:color w:val="DA5F15"/>
        </w:rPr>
        <w:t xml:space="preserve">nline </w:t>
      </w:r>
      <w:r w:rsidR="00595727">
        <w:rPr>
          <w:rFonts w:ascii="Arial" w:hAnsi="Arial" w:cs="Arial"/>
          <w:b/>
          <w:bCs/>
          <w:color w:val="DA5F15"/>
        </w:rPr>
        <w:t>P</w:t>
      </w:r>
      <w:r w:rsidRPr="00EF7FDC">
        <w:rPr>
          <w:rFonts w:ascii="Arial" w:hAnsi="Arial" w:cs="Arial"/>
          <w:b/>
          <w:bCs/>
          <w:color w:val="DA5F15"/>
        </w:rPr>
        <w:t>latforms</w:t>
      </w:r>
    </w:p>
    <w:p w:rsidR="003B2710" w:rsidP="0094421E" w:rsidRDefault="003B2710" w14:paraId="71990F51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32D3" w:rsidP="36C3E809" w:rsidRDefault="003E32D3" w14:paraId="4FF28A5E" w14:textId="2EA9B0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36C3E809">
        <w:rPr>
          <w:rFonts w:ascii="Arial" w:hAnsi="Arial" w:cs="Arial"/>
          <w:color w:val="000000" w:themeColor="text1"/>
          <w:sz w:val="22"/>
          <w:szCs w:val="22"/>
        </w:rPr>
        <w:t xml:space="preserve">Below are just a few of the online platforms many PTAs </w:t>
      </w:r>
      <w:r w:rsidRPr="36C3E809" w:rsidR="5082EDAB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>using</w:t>
      </w:r>
      <w:r w:rsidRPr="36C3E809" w:rsidR="44EE76C7">
        <w:rPr>
          <w:rFonts w:ascii="Arial" w:hAnsi="Arial" w:cs="Arial"/>
          <w:color w:val="000000" w:themeColor="text1"/>
          <w:sz w:val="22"/>
          <w:szCs w:val="22"/>
        </w:rPr>
        <w:t>.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 xml:space="preserve"> Choose </w:t>
      </w:r>
      <w:r w:rsidRPr="36C3E809" w:rsidR="3798FF4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 xml:space="preserve">platform </w:t>
      </w:r>
      <w:r w:rsidRPr="36C3E809" w:rsidR="3AB24686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 xml:space="preserve">is the best fit for your school community! </w:t>
      </w:r>
      <w:proofErr w:type="gramStart"/>
      <w:r w:rsidRPr="36C3E809" w:rsidR="08C13C79">
        <w:rPr>
          <w:rFonts w:ascii="Arial" w:hAnsi="Arial" w:cs="Arial"/>
          <w:color w:val="000000" w:themeColor="text1"/>
          <w:sz w:val="22"/>
          <w:szCs w:val="22"/>
        </w:rPr>
        <w:t>It’s</w:t>
      </w:r>
      <w:proofErr w:type="gramEnd"/>
      <w:r w:rsidRPr="36C3E809" w:rsidR="08C13C79">
        <w:rPr>
          <w:rFonts w:ascii="Arial" w:hAnsi="Arial" w:cs="Arial"/>
          <w:color w:val="000000" w:themeColor="text1"/>
          <w:sz w:val="22"/>
          <w:szCs w:val="22"/>
        </w:rPr>
        <w:t xml:space="preserve"> a good idea to 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>use an existing platform your school has if possible.</w:t>
      </w:r>
    </w:p>
    <w:p w:rsidR="003E32D3" w:rsidP="0094421E" w:rsidRDefault="003E32D3" w14:paraId="3DFF9182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Pr="000E662D" w:rsidR="0094421E" w:rsidP="0094421E" w:rsidRDefault="0094421E" w14:paraId="1F2B4602" w14:textId="26B30CD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62D">
        <w:rPr>
          <w:rFonts w:ascii="Arial" w:hAnsi="Arial" w:cs="Arial"/>
          <w:b/>
          <w:bCs/>
          <w:color w:val="000000"/>
          <w:sz w:val="22"/>
          <w:szCs w:val="22"/>
        </w:rPr>
        <w:t>Zoom</w:t>
      </w:r>
      <w:r w:rsidR="000E662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0E662D">
        <w:rPr>
          <w:rFonts w:ascii="Arial" w:hAnsi="Arial" w:cs="Arial"/>
          <w:color w:val="000000"/>
          <w:sz w:val="22"/>
          <w:szCs w:val="22"/>
        </w:rPr>
        <w:t xml:space="preserve">Zoom Meetings starts at $14.99 per month per host for the Pro plan, which can host 100 participants with meeting duration limits of 24 hours. </w:t>
      </w:r>
      <w:r w:rsidR="003B2710">
        <w:rPr>
          <w:rFonts w:ascii="Arial" w:hAnsi="Arial" w:cs="Arial"/>
          <w:color w:val="000000"/>
          <w:sz w:val="22"/>
          <w:szCs w:val="22"/>
        </w:rPr>
        <w:t xml:space="preserve">You can get more “hosting” licenses with other plans that are closer to $19.99 per month. </w:t>
      </w:r>
    </w:p>
    <w:p w:rsidRPr="000E662D" w:rsidR="0094421E" w:rsidP="0094421E" w:rsidRDefault="0094421E" w14:paraId="5A296E0D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662D">
        <w:rPr>
          <w:rFonts w:ascii="Arial" w:hAnsi="Arial" w:cs="Arial"/>
          <w:color w:val="000000"/>
          <w:sz w:val="22"/>
          <w:szCs w:val="22"/>
        </w:rPr>
        <w:t> </w:t>
      </w:r>
    </w:p>
    <w:p w:rsidRPr="000E662D" w:rsidR="0094421E" w:rsidP="36C3E809" w:rsidRDefault="0094421E" w14:paraId="16F7A3EC" w14:textId="5ECC81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36C3E809">
        <w:rPr>
          <w:rFonts w:ascii="Arial" w:hAnsi="Arial" w:cs="Arial"/>
          <w:b/>
          <w:bCs/>
          <w:color w:val="000000" w:themeColor="text1"/>
          <w:sz w:val="22"/>
          <w:szCs w:val="22"/>
        </w:rPr>
        <w:t>Microsoft Teams</w:t>
      </w:r>
      <w:r w:rsidRPr="36C3E809" w:rsidR="00E736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36C3E809" w:rsidR="00B7385E">
        <w:rPr>
          <w:rFonts w:ascii="Arial" w:hAnsi="Arial" w:cs="Arial"/>
          <w:color w:val="000000" w:themeColor="text1"/>
          <w:sz w:val="22"/>
          <w:szCs w:val="22"/>
        </w:rPr>
        <w:t xml:space="preserve">This option is great if your school already uses Office 365 products. Otherwise, this is priced per person (varying from $5-20 per month). </w:t>
      </w:r>
    </w:p>
    <w:p w:rsidRPr="000E662D" w:rsidR="0094421E" w:rsidP="0094421E" w:rsidRDefault="0094421E" w14:paraId="35586237" w14:textId="77777777">
      <w:pPr>
        <w:rPr>
          <w:rFonts w:ascii="Arial" w:hAnsi="Arial" w:cs="Arial"/>
          <w:sz w:val="22"/>
          <w:szCs w:val="22"/>
        </w:rPr>
      </w:pPr>
    </w:p>
    <w:p w:rsidRPr="000E662D" w:rsidR="0094421E" w:rsidP="36C3E809" w:rsidRDefault="0094421E" w14:paraId="50A31DA1" w14:textId="04691FE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36C3E809">
        <w:rPr>
          <w:rFonts w:ascii="Arial" w:hAnsi="Arial" w:cs="Arial"/>
          <w:b/>
          <w:bCs/>
          <w:color w:val="000000" w:themeColor="text1"/>
          <w:sz w:val="22"/>
          <w:szCs w:val="22"/>
        </w:rPr>
        <w:t>Google Meet</w:t>
      </w:r>
      <w:r w:rsidRPr="36C3E809" w:rsidR="00B738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36C3E809" w:rsidR="00B7385E">
        <w:rPr>
          <w:rFonts w:ascii="Arial" w:hAnsi="Arial" w:cs="Arial"/>
          <w:color w:val="000000" w:themeColor="text1"/>
          <w:sz w:val="22"/>
          <w:szCs w:val="22"/>
        </w:rPr>
        <w:t xml:space="preserve">This is an ideal option if your school uses G Suite products already. 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 xml:space="preserve">Google Meet is bundled with various tiers of G Suite </w:t>
      </w:r>
      <w:r w:rsidRPr="36C3E809" w:rsidR="33767884">
        <w:rPr>
          <w:rFonts w:ascii="Arial" w:hAnsi="Arial" w:cs="Arial"/>
          <w:color w:val="000000" w:themeColor="text1"/>
          <w:sz w:val="22"/>
          <w:szCs w:val="22"/>
        </w:rPr>
        <w:t>s</w:t>
      </w:r>
      <w:r w:rsidRPr="36C3E809">
        <w:rPr>
          <w:rFonts w:ascii="Arial" w:hAnsi="Arial" w:cs="Arial"/>
          <w:color w:val="000000" w:themeColor="text1"/>
          <w:sz w:val="22"/>
          <w:szCs w:val="22"/>
        </w:rPr>
        <w:t xml:space="preserve">tarting at $6 per user per month </w:t>
      </w:r>
      <w:r w:rsidRPr="36C3E809" w:rsidR="0096185E">
        <w:rPr>
          <w:rFonts w:ascii="Arial" w:hAnsi="Arial" w:cs="Arial"/>
          <w:color w:val="000000" w:themeColor="text1"/>
          <w:sz w:val="22"/>
          <w:szCs w:val="22"/>
        </w:rPr>
        <w:t xml:space="preserve">and goes up to $20 depending on the plan. </w:t>
      </w:r>
    </w:p>
    <w:p w:rsidR="00423A28" w:rsidP="001356B7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E28" w:rsidP="0007645B" w:rsidRDefault="00E64E28" w14:paraId="3E971D00" w14:textId="77777777">
      <w:r>
        <w:separator/>
      </w:r>
    </w:p>
  </w:endnote>
  <w:endnote w:type="continuationSeparator" w:id="0">
    <w:p w:rsidR="00E64E28" w:rsidP="0007645B" w:rsidRDefault="00E64E28" w14:paraId="312D8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6A19D9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57D88FE2">
      <w:rPr/>
      <w:t/>
    </w:r>
    <w:r w:rsidR="2D3C8807">
      <w:rPr/>
      <w:t/>
    </w:r>
    <w:r w:rsidR="1D27DF67">
      <w:rPr/>
      <w:t/>
    </w:r>
    <w:r w:rsidR="580E3D4F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E28" w:rsidP="0007645B" w:rsidRDefault="00E64E28" w14:paraId="0B31BDC2" w14:textId="77777777">
      <w:r>
        <w:separator/>
      </w:r>
    </w:p>
  </w:footnote>
  <w:footnote w:type="continuationSeparator" w:id="0">
    <w:p w:rsidR="00E64E28" w:rsidP="0007645B" w:rsidRDefault="00E64E28" w14:paraId="2FE7F2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D88FE2">
      <w:rPr/>
      <w:t/>
    </w:r>
    <w:r w:rsidR="2D3C8807">
      <w:rPr/>
      <w:t/>
    </w:r>
    <w:r w:rsidR="1D27DF67">
      <w:rPr/>
      <w:t/>
    </w:r>
    <w:r w:rsidR="580E3D4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7"/>
  </w:num>
  <w:num w:numId="10">
    <w:abstractNumId w:val="14"/>
  </w:num>
  <w:num w:numId="11">
    <w:abstractNumId w:val="28"/>
  </w:num>
  <w:num w:numId="12">
    <w:abstractNumId w:val="10"/>
  </w:num>
  <w:num w:numId="13">
    <w:abstractNumId w:val="9"/>
  </w:num>
  <w:num w:numId="14">
    <w:abstractNumId w:val="26"/>
  </w:num>
  <w:num w:numId="15">
    <w:abstractNumId w:val="18"/>
  </w:num>
  <w:num w:numId="16">
    <w:abstractNumId w:val="25"/>
  </w:num>
  <w:num w:numId="17">
    <w:abstractNumId w:val="2"/>
  </w:num>
  <w:num w:numId="18">
    <w:abstractNumId w:val="0"/>
  </w:num>
  <w:num w:numId="19">
    <w:abstractNumId w:val="3"/>
  </w:num>
  <w:num w:numId="20">
    <w:abstractNumId w:val="21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0D2D3A"/>
    <w:rsid w:val="000E662D"/>
    <w:rsid w:val="001356B7"/>
    <w:rsid w:val="001510A9"/>
    <w:rsid w:val="0017162F"/>
    <w:rsid w:val="001A20DE"/>
    <w:rsid w:val="001B6F51"/>
    <w:rsid w:val="002572E7"/>
    <w:rsid w:val="002C0C88"/>
    <w:rsid w:val="002E01E0"/>
    <w:rsid w:val="00324C1F"/>
    <w:rsid w:val="0033540D"/>
    <w:rsid w:val="003B2710"/>
    <w:rsid w:val="003E18B6"/>
    <w:rsid w:val="003E32D3"/>
    <w:rsid w:val="00404380"/>
    <w:rsid w:val="00423A28"/>
    <w:rsid w:val="004451D1"/>
    <w:rsid w:val="00461468"/>
    <w:rsid w:val="00595727"/>
    <w:rsid w:val="005D10E3"/>
    <w:rsid w:val="005D43AD"/>
    <w:rsid w:val="0062535B"/>
    <w:rsid w:val="00626C60"/>
    <w:rsid w:val="006C2BED"/>
    <w:rsid w:val="006F64B6"/>
    <w:rsid w:val="00710DFD"/>
    <w:rsid w:val="00733A3A"/>
    <w:rsid w:val="007424AE"/>
    <w:rsid w:val="007703F4"/>
    <w:rsid w:val="007F5736"/>
    <w:rsid w:val="00891B44"/>
    <w:rsid w:val="00901D30"/>
    <w:rsid w:val="0094421E"/>
    <w:rsid w:val="0094643B"/>
    <w:rsid w:val="0095132C"/>
    <w:rsid w:val="0096185E"/>
    <w:rsid w:val="009978B7"/>
    <w:rsid w:val="00A21409"/>
    <w:rsid w:val="00A21DC2"/>
    <w:rsid w:val="00AB6BD0"/>
    <w:rsid w:val="00AF0D16"/>
    <w:rsid w:val="00B66B3B"/>
    <w:rsid w:val="00B72E12"/>
    <w:rsid w:val="00B7385E"/>
    <w:rsid w:val="00BC291A"/>
    <w:rsid w:val="00C50C40"/>
    <w:rsid w:val="00CC3FEE"/>
    <w:rsid w:val="00D33987"/>
    <w:rsid w:val="00D5566A"/>
    <w:rsid w:val="00DB1A6E"/>
    <w:rsid w:val="00DF4FFD"/>
    <w:rsid w:val="00E01F42"/>
    <w:rsid w:val="00E11B40"/>
    <w:rsid w:val="00E51E84"/>
    <w:rsid w:val="00E64E28"/>
    <w:rsid w:val="00E72143"/>
    <w:rsid w:val="00E73638"/>
    <w:rsid w:val="00EB64F4"/>
    <w:rsid w:val="00ED06B6"/>
    <w:rsid w:val="00ED50F1"/>
    <w:rsid w:val="00EF7FDC"/>
    <w:rsid w:val="00F63C36"/>
    <w:rsid w:val="00F96116"/>
    <w:rsid w:val="00FA0EF3"/>
    <w:rsid w:val="00FC1176"/>
    <w:rsid w:val="0285D8FF"/>
    <w:rsid w:val="07CE41AD"/>
    <w:rsid w:val="08431EE7"/>
    <w:rsid w:val="08C13C79"/>
    <w:rsid w:val="1D27DF67"/>
    <w:rsid w:val="2D3C8807"/>
    <w:rsid w:val="33767884"/>
    <w:rsid w:val="36C3E809"/>
    <w:rsid w:val="3798FF4A"/>
    <w:rsid w:val="3865153F"/>
    <w:rsid w:val="3AB24686"/>
    <w:rsid w:val="3D15E008"/>
    <w:rsid w:val="3DE88156"/>
    <w:rsid w:val="44EE76C7"/>
    <w:rsid w:val="4BA2CABA"/>
    <w:rsid w:val="5082EDAB"/>
    <w:rsid w:val="520B51FC"/>
    <w:rsid w:val="52FCB5E5"/>
    <w:rsid w:val="57D88FE2"/>
    <w:rsid w:val="580E3D4F"/>
    <w:rsid w:val="59565CCF"/>
    <w:rsid w:val="5BE3F5F7"/>
    <w:rsid w:val="6160A3C4"/>
    <w:rsid w:val="62FFCC15"/>
    <w:rsid w:val="79A9171B"/>
    <w:rsid w:val="7C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f5371628693428d" /><Relationship Type="http://schemas.openxmlformats.org/officeDocument/2006/relationships/hyperlink" Target="https://www.pta.org/docs/default-source/files/programs/stem/2021/bayer/real-time/materials-list.docx" TargetMode="External" Id="Rcaa992e7e74a466d" /><Relationship Type="http://schemas.openxmlformats.org/officeDocument/2006/relationships/hyperlink" Target="https://www.pta.org/docs/default-source/files/programs/stem/2021/bayer/real-time/materials-list.docx" TargetMode="External" Id="R22d7e2b2f54841f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0023-6229-4ac8-a7b6-a206e4f4097f}"/>
      </w:docPartPr>
      <w:docPartBody>
        <w:p w14:paraId="4BA2CAB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Rachel Simoneau</lastModifiedBy>
  <revision>14</revision>
  <dcterms:created xsi:type="dcterms:W3CDTF">2020-12-23T22:11:00.0000000Z</dcterms:created>
  <dcterms:modified xsi:type="dcterms:W3CDTF">2021-01-12T14:41:51.4798219Z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