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806C7" w14:textId="77777777" w:rsidR="00F43B3F" w:rsidRPr="006322D5" w:rsidRDefault="00C44861" w:rsidP="006322D5">
      <w:pPr>
        <w:rPr>
          <w:rFonts w:ascii="Arial" w:hAnsi="Arial" w:cs="Arial"/>
          <w:sz w:val="20"/>
          <w:szCs w:val="20"/>
        </w:rPr>
      </w:pPr>
      <w:r w:rsidRPr="006322D5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7B07E843" wp14:editId="79665CBB">
            <wp:extent cx="5943600" cy="127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NPTA STEM Logo_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E239" w14:textId="77777777" w:rsidR="00F43B3F" w:rsidRPr="00F43B3F" w:rsidRDefault="00C44861" w:rsidP="00903D4D">
      <w:pPr>
        <w:rPr>
          <w:rFonts w:ascii="Arial" w:hAnsi="Arial" w:cs="Arial"/>
          <w:b/>
          <w:color w:val="215868" w:themeColor="accent5" w:themeShade="80"/>
          <w:sz w:val="36"/>
          <w:szCs w:val="36"/>
        </w:rPr>
      </w:pPr>
      <w:r w:rsidRPr="006322D5">
        <w:rPr>
          <w:rFonts w:ascii="Arial" w:hAnsi="Arial" w:cs="Arial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05EA7" wp14:editId="143C1C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D7D31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3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69.5pt,-0.05pt" strokecolor="#ed7d31" strokeweight="0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15868"/>
          <w:sz w:val="28"/>
          <w:szCs w:val="28"/>
          <w:bdr w:val="nil"/>
          <w:lang w:val="es-ES_tradnl"/>
        </w:rPr>
        <w:t xml:space="preserve"> </w:t>
      </w:r>
      <w:r>
        <w:rPr>
          <w:rFonts w:ascii="Arial" w:eastAsia="Arial" w:hAnsi="Arial" w:cs="Arial"/>
          <w:b/>
          <w:bCs/>
          <w:noProof/>
          <w:color w:val="215868"/>
          <w:sz w:val="28"/>
          <w:szCs w:val="28"/>
          <w:highlight w:val="yellow"/>
          <w:bdr w:val="nil"/>
          <w:lang w:val="es-ES_tradnl"/>
        </w:rPr>
        <w:t>Ejemplo de Presupuesto para la Noche de Matemáticas*</w:t>
      </w:r>
    </w:p>
    <w:tbl>
      <w:tblPr>
        <w:tblStyle w:val="Tablaconcuadrcula"/>
        <w:tblW w:w="0" w:type="auto"/>
        <w:tblInd w:w="270" w:type="dxa"/>
        <w:tblLook w:val="04A0" w:firstRow="1" w:lastRow="0" w:firstColumn="1" w:lastColumn="0" w:noHBand="0" w:noVBand="1"/>
      </w:tblPr>
      <w:tblGrid>
        <w:gridCol w:w="5390"/>
        <w:gridCol w:w="1454"/>
        <w:gridCol w:w="1355"/>
        <w:gridCol w:w="1107"/>
      </w:tblGrid>
      <w:tr w:rsidR="00581D88" w14:paraId="6107B8C8" w14:textId="77777777" w:rsidTr="00903D4D">
        <w:trPr>
          <w:trHeight w:val="340"/>
        </w:trPr>
        <w:tc>
          <w:tcPr>
            <w:tcW w:w="0" w:type="auto"/>
            <w:vAlign w:val="center"/>
          </w:tcPr>
          <w:p w14:paraId="394B8E0F" w14:textId="77777777" w:rsidR="00D406FC" w:rsidRPr="00903D4D" w:rsidRDefault="00C44861" w:rsidP="00D406FC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  <w:bdr w:val="nil"/>
                <w:lang w:val="es-ES_tradnl"/>
              </w:rPr>
              <w:t>Descripción de los Gastos</w:t>
            </w:r>
          </w:p>
        </w:tc>
        <w:tc>
          <w:tcPr>
            <w:tcW w:w="0" w:type="auto"/>
            <w:vAlign w:val="center"/>
          </w:tcPr>
          <w:p w14:paraId="229597EA" w14:textId="77777777" w:rsidR="00D406FC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  <w:bdr w:val="nil"/>
                <w:lang w:val="es-ES_tradnl"/>
              </w:rPr>
              <w:t>Costo Estimado</w:t>
            </w:r>
          </w:p>
        </w:tc>
        <w:tc>
          <w:tcPr>
            <w:tcW w:w="0" w:type="auto"/>
            <w:vAlign w:val="center"/>
          </w:tcPr>
          <w:p w14:paraId="5FF1A3E7" w14:textId="77777777" w:rsidR="00D406FC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  <w:bdr w:val="nil"/>
                <w:lang w:val="es-ES_tradnl"/>
              </w:rPr>
              <w:t>Fecha de Compra</w:t>
            </w:r>
          </w:p>
        </w:tc>
        <w:tc>
          <w:tcPr>
            <w:tcW w:w="0" w:type="auto"/>
            <w:vAlign w:val="center"/>
          </w:tcPr>
          <w:p w14:paraId="5429C216" w14:textId="77777777" w:rsidR="00D406FC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E36C0A"/>
                <w:sz w:val="24"/>
                <w:szCs w:val="24"/>
                <w:bdr w:val="nil"/>
                <w:lang w:val="es-ES_tradnl"/>
              </w:rPr>
              <w:t>Costo Actual</w:t>
            </w:r>
          </w:p>
        </w:tc>
      </w:tr>
      <w:tr w:rsidR="00581D88" w14:paraId="31BDCF77" w14:textId="77777777" w:rsidTr="00903D4D">
        <w:trPr>
          <w:trHeight w:val="240"/>
        </w:trPr>
        <w:tc>
          <w:tcPr>
            <w:tcW w:w="0" w:type="auto"/>
          </w:tcPr>
          <w:p w14:paraId="0048B4FD" w14:textId="77777777" w:rsidR="00D406FC" w:rsidRPr="00903D4D" w:rsidRDefault="00C44861" w:rsidP="00BD4223">
            <w:pPr>
              <w:spacing w:after="240"/>
              <w:rPr>
                <w:rFonts w:ascii="Arial" w:eastAsia="Cambria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 xml:space="preserve">Suministros para </w:t>
            </w:r>
            <w:r w:rsidR="00B83CED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 xml:space="preserve">las </w:t>
            </w: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Actividades**</w:t>
            </w:r>
          </w:p>
        </w:tc>
        <w:tc>
          <w:tcPr>
            <w:tcW w:w="0" w:type="auto"/>
          </w:tcPr>
          <w:p w14:paraId="005409B5" w14:textId="77777777" w:rsidR="00D406FC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$0.00</w:t>
            </w:r>
          </w:p>
        </w:tc>
        <w:tc>
          <w:tcPr>
            <w:tcW w:w="0" w:type="auto"/>
          </w:tcPr>
          <w:p w14:paraId="33051649" w14:textId="77777777" w:rsidR="00D406FC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6534B2D7" w14:textId="77777777" w:rsidR="00D406FC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  <w:tr w:rsidR="00581D88" w14:paraId="1943557D" w14:textId="77777777" w:rsidTr="00903D4D">
        <w:trPr>
          <w:trHeight w:val="431"/>
        </w:trPr>
        <w:tc>
          <w:tcPr>
            <w:tcW w:w="0" w:type="auto"/>
          </w:tcPr>
          <w:p w14:paraId="59CCD2DC" w14:textId="77777777" w:rsidR="004224E7" w:rsidRPr="00903D4D" w:rsidRDefault="00C44861" w:rsidP="00B83CED">
            <w:pPr>
              <w:spacing w:after="240"/>
              <w:rPr>
                <w:rFonts w:ascii="Arial" w:eastAsia="Cambria" w:hAnsi="Arial" w:cs="Arial"/>
                <w:b/>
                <w:bCs/>
                <w:color w:val="17365D" w:themeColor="text2" w:themeShade="BF"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Refrigerios: por ejemplo, sándwiches/pizza, agua embotellada, papas fritas, tabla vegetarian</w:t>
            </w:r>
            <w:r w:rsidR="00B83CED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a</w:t>
            </w: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 xml:space="preserve">, postre/helado.  </w:t>
            </w:r>
          </w:p>
        </w:tc>
        <w:tc>
          <w:tcPr>
            <w:tcW w:w="0" w:type="auto"/>
          </w:tcPr>
          <w:p w14:paraId="21C21877" w14:textId="77777777" w:rsidR="004224E7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$250.00</w:t>
            </w:r>
          </w:p>
        </w:tc>
        <w:tc>
          <w:tcPr>
            <w:tcW w:w="0" w:type="auto"/>
          </w:tcPr>
          <w:p w14:paraId="2E315F34" w14:textId="77777777" w:rsidR="004224E7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371E1CCA" w14:textId="77777777" w:rsidR="004224E7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  <w:tr w:rsidR="00581D88" w14:paraId="045E42F6" w14:textId="77777777" w:rsidTr="00903D4D">
        <w:trPr>
          <w:trHeight w:val="542"/>
        </w:trPr>
        <w:tc>
          <w:tcPr>
            <w:tcW w:w="0" w:type="auto"/>
          </w:tcPr>
          <w:p w14:paraId="473369A9" w14:textId="3A6F8A41" w:rsidR="004224E7" w:rsidRPr="00903D4D" w:rsidRDefault="00C44861" w:rsidP="001C5BDA">
            <w:pPr>
              <w:spacing w:after="240"/>
              <w:rPr>
                <w:rFonts w:ascii="Arial" w:eastAsia="Cambria" w:hAnsi="Arial" w:cs="Arial"/>
                <w:b/>
                <w:bCs/>
                <w:color w:val="17365D" w:themeColor="text2" w:themeShade="BF"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Publicidad: costos de papel y correo para marketing, tales como panfletos para enviar a lo</w:t>
            </w: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 xml:space="preserve">s hogares y afiches para las áreas comunes de la escuela y la zona de </w:t>
            </w:r>
            <w:r w:rsidR="001C5BDA"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aparcamiento</w:t>
            </w: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/recoger a los niños.</w:t>
            </w:r>
          </w:p>
        </w:tc>
        <w:tc>
          <w:tcPr>
            <w:tcW w:w="0" w:type="auto"/>
          </w:tcPr>
          <w:p w14:paraId="1A695CA7" w14:textId="77777777" w:rsidR="004224E7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$100.00</w:t>
            </w:r>
          </w:p>
        </w:tc>
        <w:tc>
          <w:tcPr>
            <w:tcW w:w="0" w:type="auto"/>
          </w:tcPr>
          <w:p w14:paraId="5714277E" w14:textId="77777777" w:rsidR="004224E7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3B3BE8C9" w14:textId="77777777" w:rsidR="004224E7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  <w:tr w:rsidR="00581D88" w14:paraId="7CF6E20E" w14:textId="77777777" w:rsidTr="00903D4D">
        <w:trPr>
          <w:trHeight w:val="436"/>
        </w:trPr>
        <w:tc>
          <w:tcPr>
            <w:tcW w:w="0" w:type="auto"/>
          </w:tcPr>
          <w:p w14:paraId="2F3B85F9" w14:textId="77777777" w:rsidR="004224E7" w:rsidRPr="00903D4D" w:rsidRDefault="00C44861" w:rsidP="004224E7">
            <w:pPr>
              <w:spacing w:after="240"/>
              <w:rPr>
                <w:rFonts w:ascii="Arial" w:eastAsia="Cambria" w:hAnsi="Arial" w:cs="Arial"/>
                <w:b/>
                <w:bCs/>
                <w:color w:val="17365D" w:themeColor="text2" w:themeShade="BF"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 xml:space="preserve">Premios de los boletos: por ejemplo, kits de Matemáticas para llevarse a casa, tarjetas de regalo de poco valor para restaurantes o tiendas, etc. para incentivar la asistencia.  </w:t>
            </w:r>
          </w:p>
        </w:tc>
        <w:tc>
          <w:tcPr>
            <w:tcW w:w="0" w:type="auto"/>
          </w:tcPr>
          <w:p w14:paraId="198F7A8D" w14:textId="77777777" w:rsidR="004224E7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$150.00</w:t>
            </w:r>
          </w:p>
        </w:tc>
        <w:tc>
          <w:tcPr>
            <w:tcW w:w="0" w:type="auto"/>
          </w:tcPr>
          <w:p w14:paraId="305D2593" w14:textId="77777777" w:rsidR="004224E7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007754A5" w14:textId="77777777" w:rsidR="004224E7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  <w:tr w:rsidR="00581D88" w14:paraId="2E4F04AC" w14:textId="77777777" w:rsidTr="00903D4D">
        <w:trPr>
          <w:trHeight w:val="318"/>
        </w:trPr>
        <w:tc>
          <w:tcPr>
            <w:tcW w:w="0" w:type="auto"/>
          </w:tcPr>
          <w:p w14:paraId="264B220F" w14:textId="77777777" w:rsidR="009371D3" w:rsidRPr="00903D4D" w:rsidRDefault="00C44861" w:rsidP="004224E7">
            <w:pPr>
              <w:spacing w:after="240"/>
              <w:rPr>
                <w:rFonts w:ascii="Arial" w:eastAsia="Cambria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Certificados de regalo: regalos pequeños para los maestros y/o los voluntarios de PTA para</w:t>
            </w: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 xml:space="preserve"> agradecerles por su ayuda. </w:t>
            </w:r>
          </w:p>
        </w:tc>
        <w:tc>
          <w:tcPr>
            <w:tcW w:w="0" w:type="auto"/>
          </w:tcPr>
          <w:p w14:paraId="2B6658EA" w14:textId="77777777" w:rsidR="009371D3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$100.00</w:t>
            </w:r>
          </w:p>
        </w:tc>
        <w:tc>
          <w:tcPr>
            <w:tcW w:w="0" w:type="auto"/>
          </w:tcPr>
          <w:p w14:paraId="106DDD15" w14:textId="77777777" w:rsidR="009371D3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61C71A76" w14:textId="77777777" w:rsidR="009371D3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  <w:tr w:rsidR="00581D88" w14:paraId="35BDBD21" w14:textId="77777777" w:rsidTr="00903D4D">
        <w:trPr>
          <w:trHeight w:val="324"/>
        </w:trPr>
        <w:tc>
          <w:tcPr>
            <w:tcW w:w="0" w:type="auto"/>
          </w:tcPr>
          <w:p w14:paraId="2873123A" w14:textId="77777777" w:rsidR="009371D3" w:rsidRPr="00903D4D" w:rsidRDefault="00C44861" w:rsidP="004224E7">
            <w:pPr>
              <w:spacing w:after="240"/>
              <w:rPr>
                <w:rFonts w:ascii="Arial" w:eastAsia="Cambria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 xml:space="preserve">Costos de Interpretación y/o Traducción (si son necesarias) </w:t>
            </w: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para hacer que las familias se sientan bienvenidas.</w:t>
            </w:r>
          </w:p>
        </w:tc>
        <w:tc>
          <w:tcPr>
            <w:tcW w:w="0" w:type="auto"/>
          </w:tcPr>
          <w:p w14:paraId="618F0972" w14:textId="77777777" w:rsidR="009371D3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$100.00</w:t>
            </w:r>
          </w:p>
        </w:tc>
        <w:tc>
          <w:tcPr>
            <w:tcW w:w="0" w:type="auto"/>
          </w:tcPr>
          <w:p w14:paraId="476A341A" w14:textId="77777777" w:rsidR="009371D3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505DB38B" w14:textId="77777777" w:rsidR="009371D3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  <w:tr w:rsidR="00581D88" w14:paraId="6F272BF7" w14:textId="77777777" w:rsidTr="00903D4D">
        <w:trPr>
          <w:trHeight w:val="431"/>
        </w:trPr>
        <w:tc>
          <w:tcPr>
            <w:tcW w:w="0" w:type="auto"/>
          </w:tcPr>
          <w:p w14:paraId="4B0D6877" w14:textId="77777777" w:rsidR="009371D3" w:rsidRPr="00903D4D" w:rsidRDefault="00C44861" w:rsidP="004224E7">
            <w:pPr>
              <w:spacing w:after="240"/>
              <w:rPr>
                <w:rFonts w:ascii="Arial" w:eastAsia="Cambria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 xml:space="preserve">Costos de transporte, tales como pases </w:t>
            </w: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de autobús o tren y/o alquiler de autobús (si es necesario) para garantizar la asistencia de las familias.</w:t>
            </w:r>
          </w:p>
        </w:tc>
        <w:tc>
          <w:tcPr>
            <w:tcW w:w="0" w:type="auto"/>
          </w:tcPr>
          <w:p w14:paraId="5C6D7006" w14:textId="77777777" w:rsidR="009371D3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$200.00</w:t>
            </w:r>
          </w:p>
        </w:tc>
        <w:tc>
          <w:tcPr>
            <w:tcW w:w="0" w:type="auto"/>
          </w:tcPr>
          <w:p w14:paraId="6D6F8B5D" w14:textId="77777777" w:rsidR="009371D3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6B427248" w14:textId="77777777" w:rsidR="009371D3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  <w:tr w:rsidR="00581D88" w14:paraId="5ED2E03A" w14:textId="77777777" w:rsidTr="00903D4D">
        <w:trPr>
          <w:trHeight w:val="431"/>
        </w:trPr>
        <w:tc>
          <w:tcPr>
            <w:tcW w:w="0" w:type="auto"/>
          </w:tcPr>
          <w:p w14:paraId="4CCE8DA7" w14:textId="77777777" w:rsidR="00FE16C2" w:rsidRPr="00903D4D" w:rsidRDefault="00C44861" w:rsidP="004224E7">
            <w:pPr>
              <w:spacing w:after="240"/>
              <w:rPr>
                <w:rFonts w:ascii="Arial" w:eastAsia="Cambria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bdr w:val="nil"/>
                <w:lang w:val="es-ES_tradnl"/>
              </w:rPr>
              <w:t>Otros costos, tales como alquiler de instalaciones, suministros de conserjería y costos de conserjería, luces y/o seguridad (si son necesarios).</w:t>
            </w:r>
          </w:p>
        </w:tc>
        <w:tc>
          <w:tcPr>
            <w:tcW w:w="0" w:type="auto"/>
          </w:tcPr>
          <w:p w14:paraId="2B1D214D" w14:textId="77777777" w:rsidR="00FE16C2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$100.00</w:t>
            </w:r>
          </w:p>
        </w:tc>
        <w:tc>
          <w:tcPr>
            <w:tcW w:w="0" w:type="auto"/>
          </w:tcPr>
          <w:p w14:paraId="17935474" w14:textId="77777777" w:rsidR="00FE16C2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0A1B9294" w14:textId="77777777" w:rsidR="00FE16C2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  <w:tr w:rsidR="00581D88" w14:paraId="1ACCDA29" w14:textId="77777777" w:rsidTr="00F43B3F">
        <w:trPr>
          <w:trHeight w:val="20"/>
        </w:trPr>
        <w:tc>
          <w:tcPr>
            <w:tcW w:w="0" w:type="auto"/>
            <w:vAlign w:val="bottom"/>
          </w:tcPr>
          <w:p w14:paraId="5AF0EE34" w14:textId="77777777" w:rsidR="004224E7" w:rsidRPr="00F43B3F" w:rsidRDefault="00C44861" w:rsidP="004224E7">
            <w:pPr>
              <w:spacing w:after="240"/>
              <w:jc w:val="right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es-ES_tradnl"/>
              </w:rPr>
              <w:t>Total:</w:t>
            </w:r>
          </w:p>
        </w:tc>
        <w:tc>
          <w:tcPr>
            <w:tcW w:w="0" w:type="auto"/>
          </w:tcPr>
          <w:p w14:paraId="67EF38A0" w14:textId="77777777" w:rsidR="004224E7" w:rsidRPr="00903D4D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  <w:sz w:val="24"/>
                <w:szCs w:val="24"/>
                <w:bdr w:val="nil"/>
                <w:lang w:val="es-ES_tradnl"/>
              </w:rPr>
              <w:t>$1000.00</w:t>
            </w:r>
          </w:p>
        </w:tc>
        <w:tc>
          <w:tcPr>
            <w:tcW w:w="0" w:type="auto"/>
          </w:tcPr>
          <w:p w14:paraId="5F5C3601" w14:textId="77777777" w:rsidR="004224E7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  <w:tc>
          <w:tcPr>
            <w:tcW w:w="0" w:type="auto"/>
          </w:tcPr>
          <w:p w14:paraId="6F90A312" w14:textId="77777777" w:rsidR="004224E7" w:rsidRPr="00F43B3F" w:rsidRDefault="00C44861" w:rsidP="004224E7">
            <w:pPr>
              <w:spacing w:after="240"/>
              <w:jc w:val="center"/>
              <w:rPr>
                <w:rFonts w:ascii="Arial" w:eastAsia="Cambria" w:hAnsi="Arial" w:cs="Arial"/>
                <w:b/>
                <w:bCs/>
                <w:color w:val="17365D" w:themeColor="text2" w:themeShade="BF"/>
                <w:sz w:val="28"/>
                <w:szCs w:val="24"/>
              </w:rPr>
            </w:pPr>
          </w:p>
        </w:tc>
      </w:tr>
    </w:tbl>
    <w:p w14:paraId="3FDA0AAC" w14:textId="77777777" w:rsidR="00F43B3F" w:rsidRPr="00903D4D" w:rsidRDefault="00C44861" w:rsidP="00055333">
      <w:pPr>
        <w:spacing w:after="240" w:line="240" w:lineRule="auto"/>
        <w:ind w:left="270"/>
        <w:rPr>
          <w:rFonts w:ascii="Arial" w:eastAsia="Cambria" w:hAnsi="Arial" w:cs="Arial"/>
          <w:b/>
          <w:bCs/>
          <w:color w:val="17365D" w:themeColor="text2" w:themeShade="BF"/>
          <w:sz w:val="2"/>
          <w:szCs w:val="24"/>
        </w:rPr>
      </w:pPr>
    </w:p>
    <w:p w14:paraId="2AD82FAB" w14:textId="083F73B9" w:rsidR="009371D3" w:rsidRPr="00903D4D" w:rsidRDefault="00C44861" w:rsidP="00055333">
      <w:pPr>
        <w:spacing w:after="240" w:line="240" w:lineRule="auto"/>
        <w:ind w:left="270"/>
        <w:rPr>
          <w:rFonts w:ascii="Arial" w:eastAsia="Cambria" w:hAnsi="Arial" w:cs="Arial"/>
          <w:bCs/>
          <w:color w:val="215868" w:themeColor="accent5" w:themeShade="80"/>
          <w:szCs w:val="24"/>
        </w:rPr>
      </w:pPr>
      <w:r>
        <w:rPr>
          <w:rFonts w:ascii="Arial" w:eastAsia="Arial" w:hAnsi="Arial" w:cs="Arial"/>
          <w:bCs/>
          <w:color w:val="215868"/>
          <w:bdr w:val="nil"/>
          <w:lang w:val="es-ES_tradnl"/>
        </w:rPr>
        <w:t>*El presupuesto de cada Noche de Matemáticas de PTA es</w:t>
      </w:r>
      <w:r>
        <w:rPr>
          <w:rFonts w:ascii="Arial" w:eastAsia="Arial" w:hAnsi="Arial" w:cs="Arial"/>
          <w:bCs/>
          <w:color w:val="215868"/>
          <w:bdr w:val="nil"/>
          <w:lang w:val="es-ES_tradnl"/>
        </w:rPr>
        <w:t xml:space="preserve"> único y dependerá de las necesidades y los costos de cada PTA. Muchas PTA no necesitarán pagar por el alquiler de instalaciones o personal de conserjería, por ejemplo. Cualquier fondo del subsidio qu</w:t>
      </w:r>
      <w:r>
        <w:rPr>
          <w:rFonts w:ascii="Arial" w:eastAsia="Arial" w:hAnsi="Arial" w:cs="Arial"/>
          <w:bCs/>
          <w:color w:val="215868"/>
          <w:bdr w:val="nil"/>
          <w:lang w:val="es-ES_tradnl"/>
        </w:rPr>
        <w:t xml:space="preserve">e no se </w:t>
      </w:r>
      <w:r>
        <w:rPr>
          <w:rFonts w:ascii="Arial" w:eastAsia="Arial" w:hAnsi="Arial" w:cs="Arial"/>
          <w:bCs/>
          <w:color w:val="215868"/>
          <w:bdr w:val="nil"/>
          <w:lang w:val="es-ES_tradnl"/>
        </w:rPr>
        <w:lastRenderedPageBreak/>
        <w:t>gaste en esta Noche de Matemáticas puede ser usado por la PTA para cualquier otro gasto relacionado con PTA, incluido pero no limitado a otras Noches de STEM.</w:t>
      </w:r>
    </w:p>
    <w:p w14:paraId="42A97C07" w14:textId="054730D7" w:rsidR="00FE16C2" w:rsidRPr="00903D4D" w:rsidRDefault="00C44861" w:rsidP="00BD4223">
      <w:pPr>
        <w:spacing w:after="240" w:line="240" w:lineRule="auto"/>
        <w:ind w:left="270"/>
        <w:rPr>
          <w:rFonts w:ascii="Arial" w:eastAsia="Cambria" w:hAnsi="Arial" w:cs="Arial"/>
          <w:bCs/>
          <w:color w:val="215868" w:themeColor="accent5" w:themeShade="80"/>
          <w:szCs w:val="24"/>
        </w:rPr>
      </w:pPr>
      <w:r>
        <w:rPr>
          <w:rFonts w:ascii="Arial" w:eastAsia="Arial" w:hAnsi="Arial" w:cs="Arial"/>
          <w:bCs/>
          <w:color w:val="215868"/>
          <w:bdr w:val="nil"/>
          <w:lang w:val="es-ES_tradnl"/>
        </w:rPr>
        <w:t>**Si su escu</w:t>
      </w:r>
      <w:r>
        <w:rPr>
          <w:rFonts w:ascii="Arial" w:eastAsia="Arial" w:hAnsi="Arial" w:cs="Arial"/>
          <w:bCs/>
          <w:color w:val="215868"/>
          <w:bdr w:val="nil"/>
          <w:lang w:val="es-ES_tradnl"/>
        </w:rPr>
        <w:t xml:space="preserve">ela </w:t>
      </w:r>
      <w:r>
        <w:rPr>
          <w:rFonts w:ascii="Arial" w:eastAsia="Arial" w:hAnsi="Arial" w:cs="Arial"/>
          <w:bCs/>
          <w:color w:val="215868"/>
          <w:u w:val="single"/>
          <w:bdr w:val="nil"/>
          <w:lang w:val="es-ES_tradnl"/>
        </w:rPr>
        <w:t>no</w:t>
      </w:r>
      <w:r>
        <w:rPr>
          <w:rFonts w:ascii="Arial" w:eastAsia="Arial" w:hAnsi="Arial" w:cs="Arial"/>
          <w:bCs/>
          <w:color w:val="215868"/>
          <w:bdr w:val="nil"/>
          <w:lang w:val="es-ES_tradnl"/>
        </w:rPr>
        <w:t xml:space="preserve"> se encuentra cerca de un Mathnasium,</w:t>
      </w:r>
      <w:bookmarkStart w:id="0" w:name="_GoBack"/>
      <w:bookmarkEnd w:id="0"/>
      <w:r>
        <w:rPr>
          <w:rFonts w:ascii="Arial" w:eastAsia="Arial" w:hAnsi="Arial" w:cs="Arial"/>
          <w:bCs/>
          <w:color w:val="215868"/>
          <w:bdr w:val="nil"/>
          <w:lang w:val="es-ES_tradnl"/>
        </w:rPr>
        <w:t xml:space="preserve"> es posible que tengan que incurrir en costos de materiales </w:t>
      </w:r>
      <w:r>
        <w:rPr>
          <w:rFonts w:ascii="Arial" w:eastAsia="Arial" w:hAnsi="Arial" w:cs="Arial"/>
          <w:bCs/>
          <w:color w:val="215868"/>
          <w:bdr w:val="nil"/>
          <w:lang w:val="es-ES_tradnl"/>
        </w:rPr>
        <w:t>adicionales, pero: (1) todos los costos estarán dentro de este presupuesto y (2) National PTA trabajará con ustedes para reducir estos costos al máximo.</w:t>
      </w:r>
    </w:p>
    <w:sectPr w:rsidR="00FE16C2" w:rsidRPr="00903D4D" w:rsidSect="0090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F6B"/>
    <w:multiLevelType w:val="hybridMultilevel"/>
    <w:tmpl w:val="F594E034"/>
    <w:lvl w:ilvl="0" w:tplc="949A7F6C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E36C0A" w:themeColor="accent6" w:themeShade="BF"/>
      </w:rPr>
    </w:lvl>
    <w:lvl w:ilvl="1" w:tplc="DDA0F024">
      <w:start w:val="1"/>
      <w:numFmt w:val="lowerLetter"/>
      <w:lvlText w:val="%2."/>
      <w:lvlJc w:val="left"/>
      <w:pPr>
        <w:ind w:left="1800" w:hanging="360"/>
      </w:pPr>
    </w:lvl>
    <w:lvl w:ilvl="2" w:tplc="346C9F52" w:tentative="1">
      <w:start w:val="1"/>
      <w:numFmt w:val="lowerRoman"/>
      <w:lvlText w:val="%3."/>
      <w:lvlJc w:val="right"/>
      <w:pPr>
        <w:ind w:left="2520" w:hanging="180"/>
      </w:pPr>
    </w:lvl>
    <w:lvl w:ilvl="3" w:tplc="B97C4478" w:tentative="1">
      <w:start w:val="1"/>
      <w:numFmt w:val="decimal"/>
      <w:lvlText w:val="%4."/>
      <w:lvlJc w:val="left"/>
      <w:pPr>
        <w:ind w:left="3240" w:hanging="360"/>
      </w:pPr>
    </w:lvl>
    <w:lvl w:ilvl="4" w:tplc="FFEEDF20" w:tentative="1">
      <w:start w:val="1"/>
      <w:numFmt w:val="lowerLetter"/>
      <w:lvlText w:val="%5."/>
      <w:lvlJc w:val="left"/>
      <w:pPr>
        <w:ind w:left="3960" w:hanging="360"/>
      </w:pPr>
    </w:lvl>
    <w:lvl w:ilvl="5" w:tplc="675EDBFE" w:tentative="1">
      <w:start w:val="1"/>
      <w:numFmt w:val="lowerRoman"/>
      <w:lvlText w:val="%6."/>
      <w:lvlJc w:val="right"/>
      <w:pPr>
        <w:ind w:left="4680" w:hanging="180"/>
      </w:pPr>
    </w:lvl>
    <w:lvl w:ilvl="6" w:tplc="51A0FA2E" w:tentative="1">
      <w:start w:val="1"/>
      <w:numFmt w:val="decimal"/>
      <w:lvlText w:val="%7."/>
      <w:lvlJc w:val="left"/>
      <w:pPr>
        <w:ind w:left="5400" w:hanging="360"/>
      </w:pPr>
    </w:lvl>
    <w:lvl w:ilvl="7" w:tplc="6CB61F48" w:tentative="1">
      <w:start w:val="1"/>
      <w:numFmt w:val="lowerLetter"/>
      <w:lvlText w:val="%8."/>
      <w:lvlJc w:val="left"/>
      <w:pPr>
        <w:ind w:left="6120" w:hanging="360"/>
      </w:pPr>
    </w:lvl>
    <w:lvl w:ilvl="8" w:tplc="4ED0061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88"/>
    <w:rsid w:val="001C5BDA"/>
    <w:rsid w:val="00581D88"/>
    <w:rsid w:val="00B83CED"/>
    <w:rsid w:val="00C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F8C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2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223"/>
  </w:style>
  <w:style w:type="paragraph" w:styleId="Piedepgina">
    <w:name w:val="footer"/>
    <w:basedOn w:val="Normal"/>
    <w:link w:val="PiedepginaC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223"/>
  </w:style>
  <w:style w:type="character" w:styleId="Refdecomentario">
    <w:name w:val="annotation reference"/>
    <w:basedOn w:val="Fuentedeprrafopredeter"/>
    <w:uiPriority w:val="99"/>
    <w:semiHidden/>
    <w:unhideWhenUsed/>
    <w:rsid w:val="00C76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4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4D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4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2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223"/>
  </w:style>
  <w:style w:type="paragraph" w:styleId="Piedepgina">
    <w:name w:val="footer"/>
    <w:basedOn w:val="Normal"/>
    <w:link w:val="PiedepginaCar"/>
    <w:uiPriority w:val="99"/>
    <w:unhideWhenUsed/>
    <w:rsid w:val="00B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223"/>
  </w:style>
  <w:style w:type="character" w:styleId="Refdecomentario">
    <w:name w:val="annotation reference"/>
    <w:basedOn w:val="Fuentedeprrafopredeter"/>
    <w:uiPriority w:val="99"/>
    <w:semiHidden/>
    <w:unhideWhenUsed/>
    <w:rsid w:val="00C76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64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6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6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64D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4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1738</Characters>
  <Application>Microsoft Macintosh Word</Application>
  <DocSecurity>0</DocSecurity>
  <Lines>173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Thwaites</dc:creator>
  <cp:lastModifiedBy>Anónimo</cp:lastModifiedBy>
  <cp:revision>5</cp:revision>
  <cp:lastPrinted>2017-03-09T23:36:00Z</cp:lastPrinted>
  <dcterms:created xsi:type="dcterms:W3CDTF">2017-10-13T13:51:00Z</dcterms:created>
  <dcterms:modified xsi:type="dcterms:W3CDTF">2018-06-14T20:40:00Z</dcterms:modified>
</cp:coreProperties>
</file>