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13C3" w14:textId="7CFB6AC5" w:rsidR="00D86D51" w:rsidRPr="005D43AD" w:rsidRDefault="21400901" w:rsidP="581C23AF">
      <w:pPr>
        <w:spacing w:before="240" w:after="240" w:line="276" w:lineRule="auto"/>
        <w:rPr>
          <w:rFonts w:ascii="Arial" w:eastAsia="Arial" w:hAnsi="Arial" w:cs="Arial"/>
          <w:color w:val="093C71"/>
          <w:sz w:val="28"/>
          <w:szCs w:val="28"/>
        </w:rPr>
      </w:pPr>
      <w:r w:rsidRPr="581C23AF">
        <w:rPr>
          <w:rFonts w:ascii="Arial" w:eastAsia="Arial" w:hAnsi="Arial" w:cs="Arial"/>
          <w:b/>
          <w:bCs/>
          <w:color w:val="093C71"/>
          <w:sz w:val="28"/>
          <w:szCs w:val="28"/>
          <w:lang w:val="en"/>
        </w:rPr>
        <w:t xml:space="preserve">Which </w:t>
      </w:r>
      <w:r w:rsidR="00441AEB">
        <w:rPr>
          <w:rFonts w:ascii="Arial" w:eastAsia="Arial" w:hAnsi="Arial" w:cs="Arial"/>
          <w:b/>
          <w:bCs/>
          <w:color w:val="093C71"/>
          <w:sz w:val="28"/>
          <w:szCs w:val="28"/>
          <w:lang w:val="en"/>
        </w:rPr>
        <w:t xml:space="preserve">Healthy Hydration </w:t>
      </w:r>
      <w:r w:rsidRPr="581C23AF">
        <w:rPr>
          <w:rFonts w:ascii="Arial" w:eastAsia="Arial" w:hAnsi="Arial" w:cs="Arial"/>
          <w:b/>
          <w:bCs/>
          <w:color w:val="093C71"/>
          <w:sz w:val="28"/>
          <w:szCs w:val="28"/>
          <w:lang w:val="en"/>
        </w:rPr>
        <w:t>Program Model is Right for You?</w:t>
      </w:r>
    </w:p>
    <w:p w14:paraId="4D77BA07" w14:textId="037D4198" w:rsidR="00D86D51" w:rsidRPr="005D43AD" w:rsidRDefault="21400901" w:rsidP="581C23AF">
      <w:pPr>
        <w:spacing w:before="240" w:after="24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581C23AF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There are three models you can follow to run your </w:t>
      </w:r>
      <w:r w:rsidR="00441AE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Healthy Hydration</w:t>
      </w:r>
      <w:r w:rsidRPr="581C23AF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program: Real-Time, At Your Own Pace and Tech-Free. Your PTA can offer one model, a combination of two models, or even all of the models to your families. Choose what works for you—each model has strengths and limitations.</w:t>
      </w:r>
    </w:p>
    <w:p w14:paraId="2A1CBC5D" w14:textId="02E484ED" w:rsidR="007B5EAC" w:rsidRDefault="007B5EAC" w:rsidP="79A977D5">
      <w:pPr>
        <w:spacing w:before="240" w:after="24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hope this event encourages all families to think about healthy hydration, exercise, and exploring how to help fuel your busy child.</w:t>
      </w:r>
      <w:r>
        <w:rPr>
          <w:rFonts w:ascii="Arial" w:hAnsi="Arial" w:cs="Arial"/>
          <w:color w:val="000000"/>
          <w:sz w:val="22"/>
          <w:szCs w:val="22"/>
        </w:rPr>
        <w:t xml:space="preserve"> Your PTA does not need to be an expert in any of these areas, as we have all the information you need in the toolkit.</w:t>
      </w:r>
    </w:p>
    <w:p w14:paraId="071B7E3D" w14:textId="051DC522" w:rsidR="00D86D51" w:rsidRDefault="21400901" w:rsidP="79A977D5">
      <w:pPr>
        <w:spacing w:before="240" w:after="240" w:line="276" w:lineRule="auto"/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</w:pPr>
      <w:r w:rsidRPr="79A977D5"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  <w:t>Real-Time</w:t>
      </w:r>
    </w:p>
    <w:p w14:paraId="0B2DC58A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Events are live, virtual events. They uild conversation, community, and learning. </w:t>
      </w:r>
    </w:p>
    <w:p w14:paraId="75FFE472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This program has </w:t>
      </w:r>
      <w:hyperlink r:id="rId10" w:history="1">
        <w:r w:rsidRPr="00874DF8">
          <w:rPr>
            <w:rFonts w:eastAsia="Arial"/>
            <w:color w:val="000000" w:themeColor="text1"/>
            <w:lang w:val="en"/>
          </w:rPr>
          <w:t>engaging slides</w:t>
        </w:r>
      </w:hyperlink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, </w:t>
      </w:r>
      <w:hyperlink r:id="rId11" w:history="1">
        <w:r w:rsidRPr="00874DF8">
          <w:rPr>
            <w:rFonts w:eastAsia="Arial"/>
            <w:color w:val="000000" w:themeColor="text1"/>
            <w:lang w:val="en"/>
          </w:rPr>
          <w:t>handouts</w:t>
        </w:r>
      </w:hyperlink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, and </w:t>
      </w:r>
      <w:hyperlink r:id="rId12" w:history="1">
        <w:r w:rsidRPr="00874DF8">
          <w:rPr>
            <w:rFonts w:eastAsia="Arial"/>
            <w:color w:val="000000" w:themeColor="text1"/>
            <w:lang w:val="en"/>
          </w:rPr>
          <w:t>facilitator guide</w:t>
        </w:r>
      </w:hyperlink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. </w:t>
      </w:r>
    </w:p>
    <w:p w14:paraId="74EBD4C9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These activities are completed with the PTA. Families conduct 1 sugar demo, a 1 water-infused activity, utilize  a water-tracker, engage in  family exercise, and review the choice board. </w:t>
      </w:r>
    </w:p>
    <w:p w14:paraId="164F081A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Possible materials may include fresh fruit, sugar, cups.  Materials can be delivered to homes with the handouts. </w:t>
      </w:r>
    </w:p>
    <w:p w14:paraId="70F68244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Prizes are given for completion of the activities/choice board. Determine how school participants will let you know they’ve completed it and how to get their prizes.  </w:t>
      </w:r>
    </w:p>
    <w:p w14:paraId="3BF06D14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Participants are encouraged to share their experiences via social media and PTA newsletters. </w:t>
      </w:r>
    </w:p>
    <w:p w14:paraId="00613E9B" w14:textId="3427A869" w:rsidR="00D86D51" w:rsidRPr="005D43AD" w:rsidRDefault="21400901" w:rsidP="79A977D5">
      <w:pPr>
        <w:spacing w:before="240" w:after="240" w:line="276" w:lineRule="auto"/>
        <w:rPr>
          <w:rFonts w:eastAsiaTheme="minorEastAsia"/>
          <w:color w:val="000000" w:themeColor="text1"/>
          <w:sz w:val="22"/>
          <w:szCs w:val="22"/>
        </w:rPr>
      </w:pPr>
      <w:r w:rsidRPr="79A977D5"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  <w:t>At Your Own Pace</w:t>
      </w:r>
    </w:p>
    <w:p w14:paraId="64604E1F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Events happen at home, and  each family facilitates the event by themselves at their own pace.</w:t>
      </w:r>
    </w:p>
    <w:p w14:paraId="5DA1EFA0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Families may conduct the sugar demo, the water-infused activity, use the water tracker, engage in family exercise, and review the choice board. </w:t>
      </w:r>
    </w:p>
    <w:p w14:paraId="2872AA56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Event happens during a designated timeframe and requires advance sign up through the Local PTA.</w:t>
      </w:r>
    </w:p>
    <w:p w14:paraId="51FD7D95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Local PTA sends out Caretakers Guide and Handouts. These should be printed and delivered. All CDC guidelines should be followed when delivering materials. </w:t>
      </w:r>
    </w:p>
    <w:p w14:paraId="04C79CE4" w14:textId="77777777" w:rsidR="00874DF8" w:rsidRPr="00874DF8" w:rsidRDefault="00874DF8" w:rsidP="00874DF8">
      <w:pPr>
        <w:pStyle w:val="ListParagraph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874DF8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Prizes are given for completion of the activities/choice board. Determine how school participants will let you know they’ve completed it and how to get their prizes. </w:t>
      </w:r>
    </w:p>
    <w:p w14:paraId="4AF8657D" w14:textId="77777777" w:rsidR="00AF5074" w:rsidRDefault="00AF5074" w:rsidP="79A977D5">
      <w:pPr>
        <w:spacing w:before="240" w:after="240" w:line="276" w:lineRule="auto"/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</w:pPr>
    </w:p>
    <w:p w14:paraId="1D0715B1" w14:textId="77777777" w:rsidR="00AF5074" w:rsidRDefault="00AF5074" w:rsidP="79A977D5">
      <w:pPr>
        <w:spacing w:before="240" w:after="240" w:line="276" w:lineRule="auto"/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</w:pPr>
    </w:p>
    <w:p w14:paraId="2C793B5B" w14:textId="41094E21" w:rsidR="00D86D51" w:rsidRPr="005D43AD" w:rsidRDefault="21400901" w:rsidP="79A977D5">
      <w:pPr>
        <w:spacing w:before="240" w:after="240" w:line="276" w:lineRule="auto"/>
        <w:rPr>
          <w:rFonts w:ascii="Arial" w:eastAsia="Arial" w:hAnsi="Arial" w:cs="Arial"/>
          <w:b/>
          <w:bCs/>
          <w:color w:val="DA5F15"/>
          <w:sz w:val="22"/>
          <w:szCs w:val="22"/>
        </w:rPr>
      </w:pPr>
      <w:r w:rsidRPr="79A977D5">
        <w:rPr>
          <w:rFonts w:ascii="Arial" w:eastAsia="Arial" w:hAnsi="Arial" w:cs="Arial"/>
          <w:b/>
          <w:bCs/>
          <w:color w:val="DA5F15"/>
          <w:sz w:val="22"/>
          <w:szCs w:val="22"/>
          <w:lang w:val="en"/>
        </w:rPr>
        <w:lastRenderedPageBreak/>
        <w:t>Tech-Free</w:t>
      </w:r>
    </w:p>
    <w:p w14:paraId="6D2AFEC6" w14:textId="77777777" w:rsidR="00AF5074" w:rsidRPr="00AF5074" w:rsidRDefault="00AF5074" w:rsidP="00AF5074">
      <w:pPr>
        <w:pStyle w:val="ListParagraph"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AF5074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This event happens at home, and each family facilitates the event by themselves. </w:t>
      </w:r>
    </w:p>
    <w:p w14:paraId="257CE984" w14:textId="77777777" w:rsidR="00AF5074" w:rsidRPr="00AF5074" w:rsidRDefault="00AF5074" w:rsidP="00AF5074">
      <w:pPr>
        <w:pStyle w:val="ListParagraph"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AF5074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Families can conduct the various healthy-hydration activities that do not require technology. </w:t>
      </w:r>
    </w:p>
    <w:p w14:paraId="441742E5" w14:textId="77777777" w:rsidR="00AF5074" w:rsidRPr="00AF5074" w:rsidRDefault="00AF5074" w:rsidP="00AF5074">
      <w:pPr>
        <w:pStyle w:val="ListParagraph"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AF5074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Event happens during a designated timeframe and requires advance sign up through the Local PTA </w:t>
      </w:r>
    </w:p>
    <w:p w14:paraId="4B6E3224" w14:textId="77777777" w:rsidR="00AF5074" w:rsidRPr="00AF5074" w:rsidRDefault="00AF5074" w:rsidP="00AF5074">
      <w:pPr>
        <w:pStyle w:val="ListParagraph"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AF5074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Local PTA sends out printed Caretakers Guide and Handouts. </w:t>
      </w:r>
    </w:p>
    <w:p w14:paraId="5D867EF2" w14:textId="77777777" w:rsidR="00AF5074" w:rsidRPr="00AF5074" w:rsidRDefault="00AF5074" w:rsidP="00AF5074">
      <w:pPr>
        <w:pStyle w:val="ListParagraph"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  <w:r w:rsidRPr="00AF5074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No videos or supporting technology.</w:t>
      </w:r>
    </w:p>
    <w:p w14:paraId="1C8F9104" w14:textId="1C605BE3" w:rsidR="00D86D51" w:rsidRPr="000340F7" w:rsidRDefault="00AF5074" w:rsidP="000340F7">
      <w:pPr>
        <w:pStyle w:val="ListParagraph"/>
        <w:spacing w:before="24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"/>
        </w:rPr>
      </w:pPr>
    </w:p>
    <w:sectPr w:rsidR="00D86D51" w:rsidRPr="000340F7" w:rsidSect="0007645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5BD0" w14:textId="77777777" w:rsidR="005659C4" w:rsidRDefault="005659C4" w:rsidP="0007645B">
      <w:r>
        <w:separator/>
      </w:r>
    </w:p>
  </w:endnote>
  <w:endnote w:type="continuationSeparator" w:id="0">
    <w:p w14:paraId="21C380E6" w14:textId="77777777" w:rsidR="005659C4" w:rsidRDefault="005659C4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4E9C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8CDB" w14:textId="77777777" w:rsidR="005659C4" w:rsidRDefault="005659C4" w:rsidP="0007645B">
      <w:r>
        <w:separator/>
      </w:r>
    </w:p>
  </w:footnote>
  <w:footnote w:type="continuationSeparator" w:id="0">
    <w:p w14:paraId="6033E7B9" w14:textId="77777777" w:rsidR="005659C4" w:rsidRDefault="005659C4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4F9"/>
    <w:multiLevelType w:val="hybridMultilevel"/>
    <w:tmpl w:val="0130EC84"/>
    <w:lvl w:ilvl="0" w:tplc="39980E7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5162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A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67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85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2A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E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DFB"/>
    <w:multiLevelType w:val="hybridMultilevel"/>
    <w:tmpl w:val="6F0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E62"/>
    <w:multiLevelType w:val="hybridMultilevel"/>
    <w:tmpl w:val="AEEC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DED"/>
    <w:multiLevelType w:val="multilevel"/>
    <w:tmpl w:val="619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340F7"/>
    <w:rsid w:val="000469E1"/>
    <w:rsid w:val="000546C4"/>
    <w:rsid w:val="00072003"/>
    <w:rsid w:val="0007645B"/>
    <w:rsid w:val="001510A9"/>
    <w:rsid w:val="001A20DE"/>
    <w:rsid w:val="00324C1F"/>
    <w:rsid w:val="00441AEB"/>
    <w:rsid w:val="005659C4"/>
    <w:rsid w:val="005D10E3"/>
    <w:rsid w:val="005D43AD"/>
    <w:rsid w:val="007424AE"/>
    <w:rsid w:val="007703F4"/>
    <w:rsid w:val="007B5EAC"/>
    <w:rsid w:val="007F5736"/>
    <w:rsid w:val="00874DF8"/>
    <w:rsid w:val="008C5DBA"/>
    <w:rsid w:val="009978B7"/>
    <w:rsid w:val="00A21409"/>
    <w:rsid w:val="00AF5074"/>
    <w:rsid w:val="00BC291A"/>
    <w:rsid w:val="00CC3FEE"/>
    <w:rsid w:val="00DF4FFD"/>
    <w:rsid w:val="00E72143"/>
    <w:rsid w:val="00EA0EC9"/>
    <w:rsid w:val="00EB64F4"/>
    <w:rsid w:val="1F1B79B2"/>
    <w:rsid w:val="21400901"/>
    <w:rsid w:val="51E2E2F9"/>
    <w:rsid w:val="581C23AF"/>
    <w:rsid w:val="5E9B7215"/>
    <w:rsid w:val="79A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tdA1wFk38edCn7Iidlw8sB2s4xOnpocnbCx6LVvIMV0/edit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zcZShbyJuZIbL6x4mehWZHgwP0vFasac1kPuofFp31o/edit?usp=shar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presentation/d/1PohFer_1Oso2sYkWppZkQNGIEgRioAUfbg5B5T9eoqk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A1294-C54E-4D5C-9681-7BEC2FFA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F5B4C-4AF5-4252-A667-E2BFC37AE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CC25-956B-493E-BD14-B6CA8B768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2284</Characters>
  <Application>Microsoft Office Word</Application>
  <DocSecurity>0</DocSecurity>
  <Lines>40</Lines>
  <Paragraphs>22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6</cp:revision>
  <dcterms:created xsi:type="dcterms:W3CDTF">2021-01-07T14:25:00Z</dcterms:created>
  <dcterms:modified xsi:type="dcterms:W3CDTF">2021-01-07T14:28:00Z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